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ΑΝΩΤΑΤΗ ΣΧΟΛΗ ΚΑΛΩΝ ΤΕΧΝΩΝ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ΤΜΗΜΑ ΕΙΚΑΣΤΙΚΩΝ ΤΕΧΝΩΝ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</w:p>
    <w:p>
      <w:pPr>
        <w:pStyle w:val="Normal.0"/>
        <w:spacing w:after="0" w:line="276" w:lineRule="auto"/>
        <w:ind w:left="720" w:firstLine="0"/>
        <w:jc w:val="center"/>
      </w:pPr>
      <w:r>
        <w:rPr>
          <w:b w:val="1"/>
          <w:bCs w:val="1"/>
          <w:rtl w:val="0"/>
          <w:lang w:val="en-US"/>
        </w:rPr>
        <w:t xml:space="preserve">ΠΕΡΙΓΡΑΜΜΑ </w:t>
      </w:r>
    </w:p>
    <w:p>
      <w:pPr>
        <w:pStyle w:val="Normal.0"/>
        <w:spacing w:after="0" w:line="276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ΕΙΚΑΣΤΙΚΟΥ ΕΡΓΑΣΤΗΡΙΟΥ</w:t>
      </w:r>
      <w:r>
        <w:rPr>
          <w:b w:val="1"/>
          <w:bCs w:val="1"/>
          <w:rtl w:val="0"/>
          <w:lang w:val="en-US"/>
        </w:rPr>
        <w:t>/</w:t>
      </w:r>
      <w:r>
        <w:rPr>
          <w:b w:val="1"/>
          <w:bCs w:val="1"/>
          <w:rtl w:val="0"/>
          <w:lang w:val="en-US"/>
        </w:rPr>
        <w:t>ΕΙΚΑΣΤΙΚΟΥ ΕΡΓΑΣΤΗΡΙΑΚΟΥ ΜΑΘΗΜΑΤΟΣ</w:t>
      </w:r>
    </w:p>
    <w:p>
      <w:pPr>
        <w:pStyle w:val="Normal.0"/>
        <w:spacing w:after="0" w:line="276" w:lineRule="auto"/>
        <w:ind w:left="720" w:firstLine="0"/>
        <w:jc w:val="center"/>
      </w:pPr>
      <w:r>
        <w:rPr>
          <w:rtl w:val="0"/>
          <w:lang w:val="en-US"/>
        </w:rPr>
        <w:t>2025-2026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ΓΕΝΙΚΑ ΣΤΟΙΧΕΙΑ</w:t>
      </w:r>
    </w:p>
    <w:tbl>
      <w:tblPr>
        <w:tblW w:w="8436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05"/>
        <w:gridCol w:w="1599"/>
        <w:gridCol w:w="833"/>
        <w:gridCol w:w="1208"/>
        <w:gridCol w:w="351"/>
        <w:gridCol w:w="1240"/>
      </w:tblGrid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ΣΧΟΛΗ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ΑΝΩΤΑΤΗ ΣΧΟΛΗ ΚΑΛΩΝ ΤΕΧΝΩΝ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ΤΜΗΜΑ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ΤΟΜΕΑΣ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 xml:space="preserve">ΕΙΚΑΣΤΙΚΩΝ ΤΕΧΝΩΝ 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ΕΠΙΠΕΔΟ ΣΠΟΥΔΩΝ 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ΠΡΟΠΤΥΧΙΑΚΟ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ΚΩΔΙΚΟΣ ΜΑΘΗΜΑΤΟΣ</w:t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K2-2</w:t>
            </w:r>
          </w:p>
        </w:tc>
        <w:tc>
          <w:tcPr>
            <w:tcW w:type="dxa" w:w="20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ΕΞΑΜΗΝΟ ΣΠΟΥΔΩΝ</w:t>
            </w:r>
          </w:p>
        </w:tc>
        <w:tc>
          <w:tcPr>
            <w:tcW w:type="dxa" w:w="15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ΤΙΤΛΟΣ ΜΑΘΗΜΑΤΟΣ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</w:rPr>
              <w:t>Θεωρία</w:t>
            </w:r>
            <w:r>
              <w:rPr>
                <w:spacing w:val="-1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του</w:t>
            </w:r>
            <w:r>
              <w:rPr>
                <w:spacing w:val="-14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Χώρου</w:t>
            </w:r>
            <w:r>
              <w:rPr>
                <w:spacing w:val="3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-</w:t>
            </w:r>
            <w:r>
              <w:rPr>
                <w:spacing w:val="1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Ιστορία</w:t>
            </w:r>
            <w:r>
              <w:rPr>
                <w:spacing w:val="-18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της Αρχιτεκτονικής</w:t>
            </w:r>
            <w:r>
              <w:rPr>
                <w:spacing w:val="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spacing w:val="7"/>
                <w:sz w:val="22"/>
                <w:szCs w:val="22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ΔΙΔΑΚΤΙΚΟ ΠΡΟΣΩΠΙΚΟ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Κωνσταντίνα Κάλφα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Επίκ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Καθηγ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επί θητεία</w:t>
            </w:r>
          </w:p>
        </w:tc>
      </w:tr>
      <w:tr>
        <w:tblPrEx>
          <w:shd w:val="clear" w:color="auto" w:fill="d0ddef"/>
        </w:tblPrEx>
        <w:trPr>
          <w:trHeight w:val="811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ΑΥΤΟΤΕΛΕΙΣ ΔΙΔΑΚΤΙΚΕΣ ΔΡΑΣΤΗΡΙΟΤΗΤΕΣ </w:t>
              <w:br w:type="textWrapping"/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ΕΒΔΟΜΑΔΙΑΙΕΣ</w:t>
              <w:br w:type="textWrapping"/>
              <w:t>ΩΡΕΣ Δ</w:t>
            </w:r>
            <w:r>
              <w:rPr>
                <w:b w:val="1"/>
                <w:bCs w:val="1"/>
                <w:sz w:val="20"/>
                <w:szCs w:val="20"/>
                <w:shd w:val="clear" w:color="auto" w:fill="ddd9c3"/>
                <w:rtl w:val="0"/>
              </w:rPr>
              <w:t>ΙΔ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ΑΣΚΑΛΙΑΣ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ΠΙΣΤΩΤΙΚΕΣ ΜΟΝΑΔΕΣ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Εργαστηριακή άσκηση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Workshop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Φροντιστήριο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Πρακτική άσκηση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Παρουσιάσεις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Διαλέξεις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3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Σεμινάρια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Εκπόνηση μελέτης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(project)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Συγγραφή εργασίας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 δραστηριότητα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5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843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8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ΤΥΠΟΣ ΜΑΘΗΜΑΤΟΣ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Γενικού Υποβάθρου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Γενικών Γνώσεων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Ειδικού Υποβάθρου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br w:type="textWrapping"/>
              <w:t>Εμβάθυνση Επιστημονικής Περιοχής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Ειδίκευσης γενικών γνώσεων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Ανάπτυξης Δεξιοτήτων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Εκπόνηση πρωτότυπου καλλιτεχνικού έργου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Υποχρεωτικό εργαστηριακό μάθημα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Κατ’  επιλογήν υποχρεωτικό εργαστηριακό μάθημα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Υποχρεωτικό θεωρητικό μάθημα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Κατ’  επιλογήν υποχρεωτικό θεωρητικό μάθημα</w:t>
            </w:r>
          </w:p>
          <w:p>
            <w:pPr>
              <w:pStyle w:val="Normal.0"/>
              <w:spacing w:after="0" w:line="276" w:lineRule="auto"/>
              <w:jc w:val="right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Γενικού υποβάθρου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γενικών γνώσεων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Υποχρεωτικό θεωρητικό μάθημα 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ΠΡΟΑΠΑΙΤΟΥΜΕΝΑ ΜΑΘΗΜΑΤΑ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——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ΛΩΣΣΑ ΔΙΔΑΣΚΑΛΙΑΣ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και ΕΞΕΤΑΣΕΩΝ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Ελληνικά 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ΤΟ ΜΑΘΗΜΑ ΠΡΟΣΦΕΡΕΤΑΙ ΣΕ ΦΟΙΤΗΤΕΣ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ERASMUS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——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0"/>
                <w:szCs w:val="20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</w:t>
            </w:r>
          </w:p>
        </w:tc>
      </w:tr>
      <w:tr>
        <w:tblPrEx>
          <w:shd w:val="clear" w:color="auto" w:fill="d0ddef"/>
        </w:tblPrEx>
        <w:trPr>
          <w:trHeight w:val="811" w:hRule="atLeast"/>
        </w:trPr>
        <w:tc>
          <w:tcPr>
            <w:tcW w:type="dxa" w:w="3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ΗΛΕΚΤΡΟΝΙΚΗ ΣΕΛΙΔΑ ΜΑΘΗΜΑΤΟΣ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URL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ΨΗΦΙΑΚΗ ΤΑΞΗ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class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00" w:line="276" w:lineRule="auto"/>
              <w:jc w:val="left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"https://eclass.asfa.gr/courses/TMB198/"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https://eclass.asfa.gr/courses/TMB198/</w:t>
            </w:r>
            <w:r>
              <w:rPr>
                <w:outline w:val="0"/>
                <w:color w:val="002060"/>
                <w:sz w:val="20"/>
                <w:szCs w:val="20"/>
                <w:u w:color="002060"/>
                <w14:textFill>
                  <w14:solidFill>
                    <w14:srgbClr w14:val="002060"/>
                  </w14:solidFill>
                </w14:textFill>
              </w:rPr>
              <w:fldChar w:fldCharType="end" w:fldLock="0"/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spacing w:after="0"/>
        <w:ind w:left="720" w:firstLine="0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widowControl w:val="0"/>
        <w:numPr>
          <w:ilvl w:val="0"/>
          <w:numId w:val="4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ΜΑΘΗΣΙΑΚΑ ΑΠΟΤΕΛΕΣΜΑΤΑ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72"/>
      </w:tblGrid>
      <w:tr>
        <w:tblPrEx>
          <w:shd w:val="clear" w:color="auto" w:fill="d0ddef"/>
        </w:tblPrEx>
        <w:trPr>
          <w:trHeight w:val="1006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Μαθησιακά Αποτελέσματα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Εντός του πεδίου της εκπαίδευσης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περιγραφές των προγραμμάτων σπουδών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των ενοτήτων και των μαθημάτων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στα εκπαιδευτικά πρότυπα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στα προσόντα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στους τίτλους σπουδών και στα πρότυπα αξιολόγησης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7033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Τα προσόντα των φοιτητών του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vertAlign w:val="superscript"/>
                <w:rtl w:val="0"/>
              </w:rPr>
              <w:t>ου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Κύκλου Σπουδών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Προπτυχιακές Σπουδές στο Τμήμα Εικαστικών Τεχνών Α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Σ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Κ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Τ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Για την προετοιμασία φοιτητών οι οποίοι θα λειτουργήσουν στον επαγγελματικό στίβο ως καλλιτέχνες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σε ιδιωτικές και δημόσιες περιοχές όπου η καλλιτεχνική εμπειρία είναι ζωτικής σημασίας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spacing w:before="60" w:after="6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Βασική επιδίωξη του μαθήματος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είναι να διασαφηνιστούν τα ακόλουθα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: </w:t>
            </w:r>
          </w:p>
          <w:p>
            <w:pPr>
              <w:pStyle w:val="Normal.0"/>
              <w:bidi w:val="0"/>
              <w:spacing w:before="60" w:after="60" w:line="24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Το πώς σταδιακά διαμορφώνονται τα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κυρίαρχα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παραδείγματα της αρχιτεκτονικής στον μοντερνισμό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Normal.0"/>
              <w:bidi w:val="0"/>
              <w:spacing w:before="60" w:after="60" w:line="24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Οι καθοριστικές για την υπό μελέτη περίοδο έννοιες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νεωτερικότητα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 xml:space="preserve">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ή ‘μοντερνικότητα’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modernity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), 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μοντερνισμός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 xml:space="preserve">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modernism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), 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εκμοντερνισμός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 xml:space="preserve">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modernization</w:t>
            </w:r>
            <w:r>
              <w:rPr>
                <w:sz w:val="20"/>
                <w:szCs w:val="20"/>
                <w:shd w:val="nil" w:color="auto" w:fill="auto"/>
                <w:rtl w:val="1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και μεταμοντέρνο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(post-modern). </w:t>
            </w:r>
          </w:p>
          <w:p>
            <w:pPr>
              <w:pStyle w:val="Normal.0"/>
              <w:bidi w:val="0"/>
              <w:spacing w:before="60" w:after="6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iii.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Η τεράστια σημασία της ιστορικής και θεωρητικής μελέτης της αρχιτεκτονικής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before="12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ΠΕΡΙΕΧΟΜΕΝΟ ΔΙΔΑΣΚΑΛΙΑΣ ΕΙΚΑΣΤΙΚΟΥ ΕΡΓΑΣΤΗΡΙΟΥ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ΕΙΚΑΣΤΙΚΟΥ ΕΡΓΑΣΤΗΡΙΑΚΟΥ ΜΑΘΗΜΑΤΟΣ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09"/>
        <w:gridCol w:w="8063"/>
      </w:tblGrid>
      <w:tr>
        <w:tblPrEx>
          <w:shd w:val="clear" w:color="auto" w:fill="d0ddef"/>
        </w:tblPrEx>
        <w:trPr>
          <w:trHeight w:val="703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Α΄ εξάμηνο </w:t>
            </w:r>
            <w:r>
              <w:rPr>
                <w:b w:val="1"/>
                <w:bCs w:val="1"/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clear" w:color="auto" w:fill="ffffff"/>
                <w:rtl w:val="0"/>
              </w:rPr>
              <w:t>Β΄ εξάμηνο</w:t>
            </w:r>
          </w:p>
        </w:tc>
      </w:tr>
      <w:tr>
        <w:tblPrEx>
          <w:shd w:val="clear" w:color="auto" w:fill="d0ddef"/>
        </w:tblPrEx>
        <w:trPr>
          <w:trHeight w:val="703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baseline"/>
                <w:rtl w:val="0"/>
              </w:rPr>
              <w:t>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Γ΄ εξάμηνο</w:t>
            </w:r>
          </w:p>
        </w:tc>
      </w:tr>
      <w:tr>
        <w:tblPrEx>
          <w:shd w:val="clear" w:color="auto" w:fill="d0ddef"/>
        </w:tblPrEx>
        <w:trPr>
          <w:trHeight w:val="702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Δ΄ εξάμηνο</w:t>
            </w:r>
          </w:p>
        </w:tc>
      </w:tr>
      <w:tr>
        <w:tblPrEx>
          <w:shd w:val="clear" w:color="auto" w:fill="d0ddef"/>
        </w:tblPrEx>
        <w:trPr>
          <w:trHeight w:val="518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Ε΄ εξάμηνο </w:t>
            </w:r>
          </w:p>
        </w:tc>
      </w:tr>
      <w:tr>
        <w:tblPrEx>
          <w:shd w:val="clear" w:color="auto" w:fill="d0ddef"/>
        </w:tblPrEx>
        <w:trPr>
          <w:trHeight w:val="796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ΣΤ΄ εξάμηνο</w:t>
            </w:r>
          </w:p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lef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Ζ΄  εξάμηνο </w:t>
            </w: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Η΄ εξάμηνο</w:t>
            </w:r>
          </w:p>
          <w:p>
            <w:pPr>
              <w:pStyle w:val="Normal.0"/>
              <w:spacing w:after="0" w:line="276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842" w:hRule="atLeast"/>
        </w:trPr>
        <w:tc>
          <w:tcPr>
            <w:tcW w:type="dxa" w:w="4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vertAlign w:val="superscript"/>
                <w:rtl w:val="0"/>
              </w:rPr>
              <w:t>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Θ΄ εξάμηνο </w:t>
            </w:r>
          </w:p>
          <w:p>
            <w:pPr>
              <w:pStyle w:val="Normal.0"/>
              <w:spacing w:after="0" w:line="276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746" w:hRule="atLeast"/>
        </w:trPr>
        <w:tc>
          <w:tcPr>
            <w:tcW w:type="dxa" w:w="4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</w:tcPr>
          <w:p/>
        </w:tc>
        <w:tc>
          <w:tcPr>
            <w:tcW w:type="dxa" w:w="8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Ι΄ εξάμηνο</w:t>
            </w:r>
          </w:p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84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left"/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Χαρακτήρας Εικαστικού Εργαστηρίου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Εικαστικού Εργαστηριακού μαθήματος</w:t>
            </w:r>
          </w:p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84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line="240" w:lineRule="auto"/>
        <w:jc w:val="left"/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120" w:after="200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6"/>
        </w:numPr>
        <w:bidi w:val="0"/>
        <w:spacing w:before="12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ΔΙΔΑΚΤΙΚΕΣ και ΜΑΘΗΣΙΑΚΕΣ ΜΕΘΟΔΟΙ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ΑΞΙΟΛΟΓΗΣΗ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44"/>
        <w:gridCol w:w="5228"/>
      </w:tblGrid>
      <w:tr>
        <w:tblPrEx>
          <w:shd w:val="clear" w:color="auto" w:fill="d0ddef"/>
        </w:tblPrEx>
        <w:trPr>
          <w:trHeight w:val="160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ΤΡΟΠΟΣ ΠΑΡΑΔΟΣΗΣ</w:t>
              <w:br w:type="textWrapping"/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20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rtl w:val="0"/>
              </w:rPr>
              <w:t xml:space="preserve">Πρόσωπο με πρόσωπο 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Εξ αποστάσεως εκπαίδευση 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206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ΧΡΗΣΗ ΤΕΧΝΟΛΟΓΙΩΝ ΠΛΗΡΟΦΟΡΙΑΣ ΚΑΙ ΕΠΙΚΟΙΝΩΝΙΩΝ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20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rtl w:val="0"/>
              </w:rPr>
              <w:t>Χρήση Τ</w:t>
            </w:r>
            <w:r>
              <w:rPr>
                <w:sz w:val="20"/>
                <w:szCs w:val="20"/>
                <w:u w:val="single"/>
                <w:rtl w:val="0"/>
              </w:rPr>
              <w:t>.</w:t>
            </w:r>
            <w:r>
              <w:rPr>
                <w:sz w:val="20"/>
                <w:szCs w:val="20"/>
                <w:u w:val="single"/>
                <w:rtl w:val="0"/>
              </w:rPr>
              <w:t>Π</w:t>
            </w:r>
            <w:r>
              <w:rPr>
                <w:sz w:val="20"/>
                <w:szCs w:val="20"/>
                <w:u w:val="single"/>
                <w:rtl w:val="0"/>
              </w:rPr>
              <w:t>.</w:t>
            </w:r>
            <w:r>
              <w:rPr>
                <w:sz w:val="20"/>
                <w:szCs w:val="20"/>
                <w:u w:val="single"/>
                <w:rtl w:val="0"/>
              </w:rPr>
              <w:t>Ε</w:t>
            </w:r>
            <w:r>
              <w:rPr>
                <w:sz w:val="20"/>
                <w:szCs w:val="20"/>
                <w:u w:val="single"/>
                <w:rtl w:val="0"/>
              </w:rPr>
              <w:t xml:space="preserve">. </w:t>
            </w:r>
            <w:r>
              <w:rPr>
                <w:sz w:val="20"/>
                <w:szCs w:val="20"/>
                <w:u w:val="single"/>
                <w:rtl w:val="0"/>
              </w:rPr>
              <w:t>στη διδασκαλία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20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Χρήση Τ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στην εργαστηριακή εκπαίδευση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Χρήση Τ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Π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Ε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στην επικοινωνία με τους φοιτητές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200" w:line="240" w:lineRule="auto"/>
              <w:ind w:right="0"/>
              <w:jc w:val="left"/>
              <w:rPr>
                <w:outline w:val="0"/>
                <w:color w:val="002060"/>
                <w:sz w:val="20"/>
                <w:szCs w:val="20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Άλλη</w:t>
            </w: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outline w:val="0"/>
                <w:color w:val="002060"/>
                <w:sz w:val="20"/>
                <w:szCs w:val="2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8466" w:hRule="atLeast"/>
        </w:trPr>
        <w:tc>
          <w:tcPr>
            <w:tcW w:type="dxa" w:w="3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9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ΟΡΓΑΝΩΣΗ ΔΙΔΑΣΚΑΛΙΑΣ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Δραστηριότητα</w:t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Τρόπος και μέθοδοι διδασκαλίας</w:t>
              <w:tab/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Φόρτος Εργασίας Εξαμήνου</w:t>
            </w:r>
          </w:p>
          <w:p>
            <w:pPr>
              <w:pStyle w:val="Normal.0"/>
              <w:spacing w:line="240" w:lineRule="auto"/>
              <w:jc w:val="center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ώρες μελέτης του φοιτητή</w:t>
            </w:r>
          </w:p>
          <w:p>
            <w:pPr>
              <w:pStyle w:val="Normal.0"/>
              <w:spacing w:line="240" w:lineRule="auto"/>
              <w:jc w:val="center"/>
              <w:rPr>
                <w:i w:val="1"/>
                <w:iCs w:val="1"/>
                <w:sz w:val="20"/>
                <w:szCs w:val="20"/>
                <w:u w:val="single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u w:val="single"/>
                <w:rtl w:val="0"/>
              </w:rPr>
              <w:t xml:space="preserve">86 </w:t>
            </w:r>
            <w:r>
              <w:rPr>
                <w:i w:val="1"/>
                <w:iCs w:val="1"/>
                <w:sz w:val="20"/>
                <w:szCs w:val="20"/>
                <w:u w:val="single"/>
                <w:rtl w:val="0"/>
              </w:rPr>
              <w:t>ECTS</w:t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Εργαστηριακή Άσκηση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Φροντιστήριο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Workshop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s)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Πρακτική άσκηση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Παρουσιάσεις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Προβολές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Διαλέξεις</w:t>
              <w:tab/>
            </w:r>
            <w:r>
              <w:rPr>
                <w:sz w:val="20"/>
                <w:szCs w:val="20"/>
                <w:u w:val="single"/>
                <w:rtl w:val="0"/>
              </w:rPr>
              <w:t xml:space="preserve">39 </w:t>
            </w:r>
            <w:r>
              <w:rPr>
                <w:sz w:val="20"/>
                <w:szCs w:val="20"/>
                <w:u w:val="single"/>
                <w:rtl w:val="0"/>
              </w:rPr>
              <w:t>ώρες</w:t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Σεμινάρια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Διαδραστική διδασκαλία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Εκπόνηση μελέτης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project)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Συγγραφή  εργασίας</w:t>
              <w:tab/>
            </w:r>
          </w:p>
          <w:p>
            <w:pPr>
              <w:pStyle w:val="Normal.0"/>
              <w:spacing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Μελέτη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&amp;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ανάλυση βιβλιογραφίας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Έρευνα πεδίου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Εκπαιδευτικές επισκέψεις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Άλλο</w:t>
              <w:tab/>
            </w:r>
          </w:p>
          <w:p>
            <w:pPr>
              <w:pStyle w:val="Normal.0"/>
              <w:spacing w:line="240" w:lineRule="auto"/>
              <w:jc w:val="lef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</w:rPr>
              <w:tab/>
            </w:r>
          </w:p>
          <w:p>
            <w:pPr>
              <w:pStyle w:val="Normal.0"/>
              <w:spacing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Σύνολο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Μαθήματος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&gt;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125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ώρες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773" w:hRule="atLeast"/>
        </w:trPr>
        <w:tc>
          <w:tcPr>
            <w:tcW w:type="dxa" w:w="32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ΑΞΙΟΛΟΓΗΣΗ ΦΟΙΤΗΤΩΝ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jc w:val="right"/>
              <w:rPr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line="276" w:lineRule="auto"/>
              <w:jc w:val="right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συμπληρώστε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Γλώσσα Αξιολόγησης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Ελληνική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515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2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Μέθοδοι αξιολόγησης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Εργαστηριακή εργασία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Καλλιτεχνική ερμηνεία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76" w:lineRule="auto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Πρόοδος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ενδιάμεση εξέταση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Δημόσια παρουσίαση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Πολλαπλής Επιλογής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Σύντομης Απάντησης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Ερωτήσεις Ανάπτυξης Δοκιμίων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Επίλυση προβλημάτων 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Γραπτή εργασία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Μελέτη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Project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Γραπτή εξέταση εξαμήνου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Προφορική εξέταση εξαμήνου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Μικτή</w:t>
            </w:r>
          </w:p>
          <w:p>
            <w:pPr>
              <w:pStyle w:val="Normal.0"/>
              <w:numPr>
                <w:ilvl w:val="0"/>
                <w:numId w:val="13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: </w:t>
            </w:r>
          </w:p>
        </w:tc>
      </w:tr>
      <w:tr>
        <w:tblPrEx>
          <w:shd w:val="clear" w:color="auto" w:fill="d0ddef"/>
        </w:tblPrEx>
        <w:trPr>
          <w:trHeight w:val="4750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spacing w:after="200" w:line="276" w:lineRule="auto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 εργασιών εξαμήνου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Σχεδιαστική αρτιότητα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Βαθμός πρωτοτυπίας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Δυνατότητα σχεδιαστικής εξέλιξης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Ανταπόκριση στις σχεδιαστικές απαιτήσεις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Αντιληπτική ωρίμανση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>Άλλο</w:t>
            </w:r>
            <w:r>
              <w:rPr>
                <w:sz w:val="20"/>
                <w:szCs w:val="20"/>
                <w:u w:val="single"/>
                <w:rtl w:val="0"/>
              </w:rPr>
              <w:t xml:space="preserve"> &gt; </w:t>
            </w:r>
            <w:r>
              <w:rPr>
                <w:sz w:val="20"/>
                <w:szCs w:val="20"/>
                <w:u w:val="single"/>
                <w:shd w:val="nil" w:color="auto" w:fill="auto"/>
                <w:rtl w:val="0"/>
              </w:rPr>
              <w:t>βασική κρίνεται η αφομοίωση της ύλης με κριτικό τρόπο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200" w:line="276" w:lineRule="auto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Κριτήρια αξιολόγησης διπλωματικών εργασιών</w:t>
            </w:r>
          </w:p>
        </w:tc>
      </w:tr>
      <w:tr>
        <w:tblPrEx>
          <w:shd w:val="clear" w:color="auto" w:fill="d0ddef"/>
        </w:tblPrEx>
        <w:trPr>
          <w:trHeight w:val="2980" w:hRule="atLeast"/>
        </w:trPr>
        <w:tc>
          <w:tcPr>
            <w:tcW w:type="dxa" w:w="32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0"/>
              </w:numPr>
              <w:shd w:val="clear" w:color="auto" w:fill="ddd9c3"/>
              <w:spacing w:after="0" w:line="276" w:lineRule="auto"/>
              <w:jc w:val="left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Πρόσβαση στους φοιτητές</w:t>
            </w:r>
          </w:p>
          <w:p>
            <w:pPr>
              <w:pStyle w:val="Normal.0"/>
              <w:numPr>
                <w:ilvl w:val="0"/>
                <w:numId w:val="21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Προφορική ενημέρωση φοιτητή</w:t>
            </w:r>
          </w:p>
          <w:p>
            <w:pPr>
              <w:pStyle w:val="Normal.0"/>
              <w:numPr>
                <w:ilvl w:val="0"/>
                <w:numId w:val="21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u w:val="single"/>
                <w:rtl w:val="0"/>
              </w:rPr>
            </w:pPr>
            <w:r>
              <w:rPr>
                <w:sz w:val="20"/>
                <w:szCs w:val="20"/>
                <w:u w:val="single"/>
                <w:rtl w:val="0"/>
              </w:rPr>
              <w:t xml:space="preserve">Βαθμολογική αξιολόγηση </w:t>
            </w:r>
            <w:r>
              <w:rPr>
                <w:sz w:val="20"/>
                <w:szCs w:val="20"/>
                <w:u w:val="single"/>
                <w:rtl w:val="0"/>
              </w:rPr>
              <w:t>(</w:t>
            </w:r>
            <w:r>
              <w:rPr>
                <w:sz w:val="20"/>
                <w:szCs w:val="20"/>
                <w:u w:val="single"/>
                <w:rtl w:val="0"/>
              </w:rPr>
              <w:t>γραπτό</w:t>
            </w:r>
            <w:r>
              <w:rPr>
                <w:sz w:val="20"/>
                <w:szCs w:val="20"/>
                <w:u w:val="single"/>
                <w:rtl w:val="0"/>
              </w:rPr>
              <w:t>/</w:t>
            </w:r>
            <w:r>
              <w:rPr>
                <w:sz w:val="20"/>
                <w:szCs w:val="20"/>
                <w:u w:val="single"/>
                <w:rtl w:val="0"/>
              </w:rPr>
              <w:t>εργασία</w:t>
            </w:r>
            <w:r>
              <w:rPr>
                <w:sz w:val="20"/>
                <w:szCs w:val="20"/>
                <w:u w:val="single"/>
                <w:rtl w:val="0"/>
              </w:rPr>
              <w:t>/</w:t>
            </w:r>
            <w:r>
              <w:rPr>
                <w:sz w:val="20"/>
                <w:szCs w:val="20"/>
                <w:u w:val="single"/>
                <w:rtl w:val="0"/>
              </w:rPr>
              <w:t>μελέτη</w:t>
            </w:r>
            <w:r>
              <w:rPr>
                <w:sz w:val="20"/>
                <w:szCs w:val="20"/>
                <w:u w:val="single"/>
                <w:rtl w:val="0"/>
              </w:rPr>
              <w:t>)</w:t>
            </w:r>
          </w:p>
          <w:p>
            <w:pPr>
              <w:pStyle w:val="Normal.0"/>
              <w:numPr>
                <w:ilvl w:val="0"/>
                <w:numId w:val="21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Γραπτή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περιγραφική αξιολόγηση</w:t>
            </w:r>
          </w:p>
          <w:p>
            <w:pPr>
              <w:pStyle w:val="Normal.0"/>
              <w:numPr>
                <w:ilvl w:val="0"/>
                <w:numId w:val="21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Δημόσια παρουσίαση έργου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εργασίας</w:t>
            </w:r>
          </w:p>
          <w:p>
            <w:pPr>
              <w:pStyle w:val="Normal.0"/>
              <w:numPr>
                <w:ilvl w:val="0"/>
                <w:numId w:val="21"/>
              </w:numPr>
              <w:bidi w:val="0"/>
              <w:spacing w:after="200" w:line="276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Άλλη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120" w:after="200" w:line="240" w:lineRule="auto"/>
        <w:jc w:val="left"/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before="240" w:after="200" w:line="240" w:lineRule="auto"/>
        <w:ind w:left="1077" w:firstLine="0"/>
        <w:jc w:val="left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numPr>
          <w:ilvl w:val="0"/>
          <w:numId w:val="22"/>
        </w:numPr>
        <w:bidi w:val="0"/>
        <w:spacing w:before="240" w:after="200" w:line="240" w:lineRule="auto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ΣΥΝΙΣΤΩΜΕΝΗ ΒΙΒΛΙΟΓΡΑΦΙΑ</w:t>
      </w:r>
    </w:p>
    <w:tbl>
      <w:tblPr>
        <w:tblW w:w="8472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72"/>
      </w:tblGrid>
      <w:tr>
        <w:tblPrEx>
          <w:shd w:val="clear" w:color="auto" w:fill="d0ddef"/>
        </w:tblPrEx>
        <w:trPr>
          <w:trHeight w:val="10139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Προτεινόμενη Βιβλιογραφία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Aggregate Architectural History Collaborative,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Governing by Design: Architecture, Economy, and Politics in the Twentieth Century, Aggregate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, 2012.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J. Bloomer &amp; B. Colomina,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Sexuality and Space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Princeton Architectural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Πρινστον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1992.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Α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.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Γιακουμακάτος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Ιστορία της ελληνικής αρχιτεκτονικής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. 20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ος αιώνας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Νεφέλη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2003-20164.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Α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.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Γιακουμακάτος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(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επιμ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.),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Ελληνική αρχιτεκτονική στον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20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ό και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21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ο αιώνα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.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Ιστορία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-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θεωρία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-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Κριτική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 xml:space="preserve">, Gutenberg,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2016.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F. D. K.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Ching, M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Jarzombek, and V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Prakash.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A Global History of Architecture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.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Hoboken, NJ: Wiley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>2017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J.-L. Cohen,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The Future of Architecture Since 1889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Phaidon,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Λονδίνο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2012.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</w:rPr>
            </w:pP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>Α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Colquhoun,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Modern Architecture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 xml:space="preserve">, Oxford University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rtl w:val="0"/>
              </w:rPr>
              <w:t xml:space="preserve">Οξφόρδη </w:t>
            </w:r>
            <w:r>
              <w:rPr>
                <w:rFonts w:ascii="Calibri" w:hAnsi="Calibri"/>
                <w:sz w:val="20"/>
                <w:szCs w:val="20"/>
                <w:u w:color="000000"/>
                <w:rtl w:val="0"/>
              </w:rPr>
              <w:t xml:space="preserve">2002.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C. Davies,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A New History of Modern Architecture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Laurence King,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Λονδίνο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2017.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K. Frampton,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Μοντέρνα αρχιτεκτονική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.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Ιστορία και κριτική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Θεμέλιο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1987-2009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-2020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G. Hartoonian (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επιμ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)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Valences of Historiography: Essays on Architectural History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,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Routledge,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Λονδίνο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&amp;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Νέα Υόρκη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2026.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G. Hartoonian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Modernity and Its Other: A Post-script to Contemporary Architectur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 xml:space="preserve">e, Texas University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Τέξας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1997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J.M. Montaner,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Ιστορία της σύγχρονης αρχιτεκτονικής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Νεφέλη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2014.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rtl w:val="0"/>
                <w:lang w:val="en-US"/>
              </w:rPr>
              <w:t>P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. Nuttgens,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The story of architecture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Phaidon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Λονδίνο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1997 (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Μιλάνο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2001).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M. Tafuri, F. Dal Co, </w:t>
            </w:r>
            <w:r>
              <w:rPr>
                <w:rFonts w:ascii="Calibri" w:hAnsi="Calibri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Architettura Contemporanea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Μιλάνο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 1992.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  <w:lang w:val="en-US"/>
              </w:rPr>
            </w:pP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Π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Τουρνικιώτης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rtl w:val="0"/>
                <w:lang w:val="en-US"/>
              </w:rPr>
              <w:t>Ιστοριογραφία της Μοντέρνας Αρχιτεκτονικής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Αλεξάνδρεια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2002.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D. Watkin, </w:t>
            </w:r>
            <w:r>
              <w:rPr>
                <w:rFonts w:ascii="Calibri" w:hAnsi="Calibri" w:hint="default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</w:rPr>
              <w:t>Ιστορία της Δυτικής Αρχιτεκτονικής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ΜΙΕΤ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Αθήνα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2005. </w:t>
            </w:r>
          </w:p>
          <w:p>
            <w:pPr>
              <w:pStyle w:val="Default"/>
              <w:spacing w:before="0" w:line="240" w:lineRule="auto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M. Wigley, White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>Walls, Designer Dresses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The Fashioning of Modern Architecture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, The MIT Press, 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Μασαχουσέτη 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1996. 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Δ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Φιλιππίδης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Νεοελληνική αρχιτεκτονική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Μέλισσα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Αθήνα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1984.</w:t>
            </w:r>
          </w:p>
          <w:p>
            <w:pPr>
              <w:pStyle w:val="Normal.0"/>
              <w:spacing w:after="0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Συναφή επιστημονικά περιοδικά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Journal of the Society of Architectural Historians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Grey Room (MIT)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Journal of Architecture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Architectural Histories</w:t>
            </w:r>
          </w:p>
          <w:p>
            <w:pPr>
              <w:pStyle w:val="List Paragraph"/>
              <w:bidi w:val="0"/>
              <w:spacing w:after="20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Architecture and Culture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240" w:after="200" w:line="240" w:lineRule="auto"/>
        <w:jc w:val="left"/>
      </w:pPr>
    </w:p>
    <w:p>
      <w:pPr>
        <w:pStyle w:val="Normal.0"/>
        <w:spacing w:after="0"/>
        <w:ind w:left="720" w:firstLine="0"/>
        <w:jc w:val="left"/>
      </w:pPr>
      <w:r>
        <w:rPr>
          <w:rFonts w:ascii="Cambria Bold" w:hAnsi="Cambria Bold"/>
          <w:sz w:val="28"/>
          <w:szCs w:val="28"/>
          <w:rtl w:val="0"/>
          <w:lang w:val="en-US"/>
        </w:rPr>
        <w:t xml:space="preserve">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(%1)"/>
      <w:lvlJc w:val="left"/>
      <w:pPr>
        <w:ind w:left="107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9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1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3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5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7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9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17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37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◻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◻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num" w:pos="1109"/>
          </w:tabs>
          <w:ind w:left="182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829"/>
          </w:tabs>
          <w:ind w:left="254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543"/>
          </w:tabs>
          <w:ind w:left="326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3269"/>
          </w:tabs>
          <w:ind w:left="398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989"/>
          </w:tabs>
          <w:ind w:left="470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703"/>
          </w:tabs>
          <w:ind w:left="542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429"/>
          </w:tabs>
          <w:ind w:left="614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6149"/>
          </w:tabs>
          <w:ind w:left="6869" w:hanging="11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863"/>
          </w:tabs>
          <w:ind w:left="7583" w:hanging="10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6"/>
    <w:lvlOverride w:ilvl="0">
      <w:startOverride w:val="2"/>
    </w:lvlOverride>
  </w:num>
  <w:num w:numId="13">
    <w:abstractNumId w:val="7"/>
  </w:num>
  <w:num w:numId="14">
    <w:abstractNumId w:val="8"/>
  </w:num>
  <w:num w:numId="15">
    <w:abstractNumId w:val="8"/>
    <w:lvlOverride w:ilvl="0">
      <w:startOverride w:val="3"/>
    </w:lvlOverride>
  </w:num>
  <w:num w:numId="16">
    <w:abstractNumId w:val="9"/>
  </w:num>
  <w:num w:numId="17">
    <w:abstractNumId w:val="10"/>
  </w:num>
  <w:num w:numId="18">
    <w:abstractNumId w:val="9"/>
    <w:lvlOverride w:ilvl="0">
      <w:startOverride w:val="2"/>
    </w:lvlOverride>
  </w:num>
  <w:num w:numId="19">
    <w:abstractNumId w:val="11"/>
  </w:num>
  <w:num w:numId="20">
    <w:abstractNumId w:val="11"/>
    <w:lvlOverride w:ilvl="0">
      <w:startOverride w:val="4"/>
    </w:lvlOverride>
  </w:num>
  <w:num w:numId="21">
    <w:abstractNumId w:val="12"/>
  </w:num>
  <w:num w:numId="2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60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60" w:lineRule="auto"/>
      <w:ind w:left="72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